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2D" w:rsidRPr="00A62648" w:rsidRDefault="001C7884" w:rsidP="00A62648">
      <w:pPr>
        <w:ind w:left="142"/>
        <w:jc w:val="center"/>
        <w:rPr>
          <w:rFonts w:ascii="Times New Roman" w:hAnsi="Times New Roman" w:cs="Times New Roman"/>
          <w:b/>
          <w:bCs/>
          <w:color w:val="2B2B2B"/>
          <w:sz w:val="32"/>
          <w:szCs w:val="32"/>
          <w:shd w:val="clear" w:color="auto" w:fill="FFFFFF"/>
        </w:rPr>
      </w:pPr>
      <w:r w:rsidRPr="00A62648">
        <w:rPr>
          <w:rFonts w:ascii="Times New Roman" w:hAnsi="Times New Roman" w:cs="Times New Roman"/>
          <w:b/>
          <w:bCs/>
          <w:color w:val="2B2B2B"/>
          <w:sz w:val="32"/>
          <w:szCs w:val="32"/>
          <w:shd w:val="clear" w:color="auto" w:fill="FFFFFF"/>
        </w:rPr>
        <w:t>Н</w:t>
      </w:r>
      <w:r w:rsidR="003E202D" w:rsidRPr="00A62648">
        <w:rPr>
          <w:rFonts w:ascii="Times New Roman" w:hAnsi="Times New Roman" w:cs="Times New Roman"/>
          <w:b/>
          <w:bCs/>
          <w:color w:val="2B2B2B"/>
          <w:sz w:val="32"/>
          <w:szCs w:val="32"/>
          <w:shd w:val="clear" w:color="auto" w:fill="FFFFFF"/>
        </w:rPr>
        <w:t>овы</w:t>
      </w:r>
      <w:r w:rsidRPr="00A62648">
        <w:rPr>
          <w:rFonts w:ascii="Times New Roman" w:hAnsi="Times New Roman" w:cs="Times New Roman"/>
          <w:b/>
          <w:bCs/>
          <w:color w:val="2B2B2B"/>
          <w:sz w:val="32"/>
          <w:szCs w:val="32"/>
          <w:shd w:val="clear" w:color="auto" w:fill="FFFFFF"/>
        </w:rPr>
        <w:t>е</w:t>
      </w:r>
      <w:r w:rsidR="003E202D" w:rsidRPr="00A62648">
        <w:rPr>
          <w:rFonts w:ascii="Times New Roman" w:hAnsi="Times New Roman" w:cs="Times New Roman"/>
          <w:b/>
          <w:bCs/>
          <w:color w:val="2B2B2B"/>
          <w:sz w:val="32"/>
          <w:szCs w:val="32"/>
          <w:shd w:val="clear" w:color="auto" w:fill="FFFFFF"/>
        </w:rPr>
        <w:t xml:space="preserve"> ФГОС 2021</w:t>
      </w:r>
    </w:p>
    <w:p w:rsidR="003E202D" w:rsidRPr="001E0C82" w:rsidRDefault="003E202D" w:rsidP="003E202D">
      <w:pP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E0C82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ФГОС - это утвержденный на государственном уровне документ, который устанавливает требования к образовательным программам. В соответствии с ФГОС пишут учебные и методические пособия, рассчитывают количество времени, отводимое на учебные предметы, определяют требования к аттестации, формируют задания по ОГЭ и ЕГЭ. </w:t>
      </w:r>
    </w:p>
    <w:p w:rsidR="003E202D" w:rsidRPr="001E0C82" w:rsidRDefault="003E202D" w:rsidP="003E202D">
      <w:pP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E0C82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Новые ФГОС начального и основного общего образования утверждены приказом Минпросвещения от 31.05.2021 № 286 и № 287. В новые ФГОС НОО и ООО внесли много изменений по сравнению со старыми стандартами. </w:t>
      </w:r>
    </w:p>
    <w:p w:rsidR="003E202D" w:rsidRPr="001E0C82" w:rsidRDefault="003E202D" w:rsidP="003E202D">
      <w:pPr>
        <w:rPr>
          <w:rFonts w:ascii="Times New Roman" w:hAnsi="Times New Roman" w:cs="Times New Roman"/>
          <w:sz w:val="24"/>
          <w:szCs w:val="24"/>
        </w:rPr>
      </w:pPr>
      <w:r w:rsidRPr="001E0C82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Главная задача новых ФГОС третьего поколения - конкретизировать требования к ученикам. В новых ФГОС 2021 года определяют четкие требования к предметным результатам по каждой учебной дисциплине. В предыдущей редакции были только общие установки на формирование определенных компетенций. Школы сами решали, что именно и в каком классе изучать. Поэтому образовательные программы в каждой школе были собственные, а результаты обучения не детализированные. Новые ФГОС 2021 года устанавливают строгие требования к предметным результатам по каждой учебной дисциплине.</w:t>
      </w:r>
    </w:p>
    <w:p w:rsidR="003E202D" w:rsidRPr="001E0C82" w:rsidRDefault="003E202D" w:rsidP="003E202D">
      <w:pPr>
        <w:rPr>
          <w:rFonts w:ascii="Times New Roman" w:hAnsi="Times New Roman" w:cs="Times New Roman"/>
          <w:sz w:val="24"/>
          <w:szCs w:val="24"/>
        </w:rPr>
      </w:pPr>
      <w:r w:rsidRPr="001E0C82">
        <w:rPr>
          <w:rFonts w:ascii="Times New Roman" w:hAnsi="Times New Roman" w:cs="Times New Roman"/>
          <w:sz w:val="24"/>
          <w:szCs w:val="24"/>
        </w:rPr>
        <w:t xml:space="preserve">Новые Стандарты позволяют ответить на вопросы: что будет знать школьник, чем овладеет и что освоит. Обновлённые ФГОС также обеспечивают личностное развитие, которое включает в себя гражданское, патриотическое, духовно-нравственное, эстетическое, физическое, трудовое, экологическое воспитание. </w:t>
      </w:r>
    </w:p>
    <w:p w:rsidR="003E202D" w:rsidRPr="001E0C82" w:rsidRDefault="003E202D" w:rsidP="003E202D">
      <w:pPr>
        <w:rPr>
          <w:rFonts w:ascii="Times New Roman" w:hAnsi="Times New Roman" w:cs="Times New Roman"/>
          <w:sz w:val="24"/>
          <w:szCs w:val="24"/>
        </w:rPr>
      </w:pPr>
      <w:r w:rsidRPr="001E0C82">
        <w:rPr>
          <w:rFonts w:ascii="Times New Roman" w:hAnsi="Times New Roman" w:cs="Times New Roman"/>
          <w:sz w:val="24"/>
          <w:szCs w:val="24"/>
        </w:rPr>
        <w:t xml:space="preserve">ФГОС разработали с учетом региональных, национальных и этнокультурных особенностей народов России. Документ ориентирует программу на изучение обучающимися многообразного цивилизационного наследия России. Также обязательные требования учитывают возрастные и индивидуальные особенности детей при освоении программ начального и основного общего образования. Новые ФГОС учитывают особые образовательные потребности детей с ОВЗ. </w:t>
      </w:r>
    </w:p>
    <w:p w:rsidR="003E202D" w:rsidRDefault="003E202D" w:rsidP="003E202D">
      <w:pPr>
        <w:rPr>
          <w:rFonts w:ascii="Times New Roman" w:hAnsi="Times New Roman" w:cs="Times New Roman"/>
          <w:sz w:val="24"/>
          <w:szCs w:val="24"/>
        </w:rPr>
      </w:pPr>
      <w:r w:rsidRPr="001E0C82">
        <w:rPr>
          <w:rFonts w:ascii="Times New Roman" w:hAnsi="Times New Roman" w:cs="Times New Roman"/>
          <w:sz w:val="24"/>
          <w:szCs w:val="24"/>
        </w:rPr>
        <w:t>Федеральные и региональные инновационные площадки получили большую свободу при разработке общеобразовательных программ. Они получили право самостоятельно анализировать промежуточные результаты в каждый год обучения, не ориентируясь на содержание примерных образовательных программ.</w:t>
      </w:r>
    </w:p>
    <w:p w:rsidR="001E0C82" w:rsidRPr="001E0C82" w:rsidRDefault="001E0C82" w:rsidP="003E20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9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5670"/>
      </w:tblGrid>
      <w:tr w:rsidR="001E0C82" w:rsidRPr="002277AF" w:rsidTr="00A62648">
        <w:trPr>
          <w:tblHeader/>
        </w:trPr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5"/>
                <w:szCs w:val="25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84A9"/>
                <w:sz w:val="25"/>
                <w:szCs w:val="25"/>
                <w:lang w:eastAsia="ru-RU"/>
              </w:rPr>
              <w:t>Как было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5"/>
                <w:szCs w:val="25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84A9"/>
                <w:sz w:val="25"/>
                <w:szCs w:val="25"/>
                <w:lang w:eastAsia="ru-RU"/>
              </w:rPr>
              <w:t>Как стало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 </w:t>
            </w:r>
            <w:hyperlink r:id="rId4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ФГОС НОО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и </w:t>
            </w:r>
            <w:hyperlink r:id="rId5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ООО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и ООО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6" w:anchor="dfasv1omg6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6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7" w:anchor="dfash5wnfp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5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Требования к результатам освоения программы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Требований было меньше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Требования к результатам освоения программы уточнили и расширили по всем видам результатов – личностным, метапредметным,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8" w:anchor="dfaszqlvzv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9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9" w:anchor="dfassx13gb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8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Требования к пояснительной записке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Содержание пояснительной записки было разным для НОО и ООО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0" w:anchor="dfasvexuvl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30.1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НОО). А на уровне ООО понадобится добавить общую характеристику программы. Еще для ООО нужно описать механизмы реализации программы. это касается и индивидуальных учебных планов (</w:t>
            </w:r>
            <w:hyperlink r:id="rId11" w:anchor="dfassgzqlv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31.1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Требования к рабочим программам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 было требований: к тематическому планированию курса </w:t>
            </w:r>
            <w:proofErr w:type="spellStart"/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внеурочки</w:t>
            </w:r>
            <w:proofErr w:type="spellEnd"/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теме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2" w:anchor="dfas04naww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31.1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13" w:anchor="dfasdwo0vd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Содержание календарного плана воспитательной работы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4" w:anchor="dfas0vuvdw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15" w:anchor="dfas6o7soh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Деление предметов и курсов по предметным областям было другим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</w:t>
            </w: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(</w:t>
            </w:r>
            <w:hyperlink r:id="rId16" w:anchor="dfasmy3ctz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17" w:anchor="dfassgyyfm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33.1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Изучение родного и второго иностранного языка на уровне ООО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Теперь изучение родного и второго иностранного языка можно организовать, если для этого есть условия в школе. при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18" w:anchor="dfassgyyfm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33.1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Объем часов аудиторной нагрузки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НОО: 2904 – минимум, 3345 – максимум</w:t>
            </w: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ФГОС ООО: 5267 – минимум, 6020 – максимум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НОО: 2954 – минимум, 3190 – максимум (</w:t>
            </w:r>
            <w:hyperlink r:id="rId19" w:anchor="dfasmy3ctz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НОО)</w:t>
            </w: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ФГОС ООО: 5058 – минимум, 5549 – максимум (</w:t>
            </w:r>
            <w:hyperlink r:id="rId20" w:anchor="dfassgyyfm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33.1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Объем внеурочной деятельности на уровне НОО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1350 часов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1320 часов (</w:t>
            </w:r>
            <w:hyperlink r:id="rId21" w:anchor="dfasmiplcf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32.2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Требования к структуре содержательного раздела ООП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внеурочки</w:t>
            </w:r>
            <w:proofErr w:type="spellEnd"/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2" w:anchor="dfasn154ml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3" w:anchor="dfasncew9b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Особенности обучения детей с ОВЗ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Применяли ФГОС НОО и (или) ФГОС НОО ОВЗ и (или) ФГОС для у/о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4" w:anchor="dfas0xqf3p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12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ООО). Предусмотрели вариации предметов. Например, для глухих и слабослышащих можно не включать в программу музыку. для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5" w:anchor="dfassgyyfm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33.1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Использование электронных средств обучения, дистанционных технологий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Настолько подробных норм не было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6" w:anchor="dfas2e0y0m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19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27" w:anchor="dfasrvkugw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19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ФГОС ООО). Если школьники учатся с использованием дистанционных </w:t>
            </w: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28" w:anchor="dfasrgeoko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34.4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29" w:anchor="dfasqoxtco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35.4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Деление учеников на группы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Зафиксировали, что образовательную деятельность можно организовать при помощи деления на группы. при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0" w:anchor="dfase0m860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20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31" w:anchor="dfasa3swo0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20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Требования к программе формирования универсальных учебных действий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Требований и норм было больше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2" w:anchor="dfas95wg7m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32.2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Рабочая программа воспитания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Рабочая программа воспитания НОО должна была быть модульной и включать в себя обязательные разделы. для рабочей программы воспитания ООО было меньше требований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3" w:anchor="dfaskimdls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31.3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НОО). для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4" w:anchor="dfasmiyh33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32.3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Информационно-образовательная среда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учеников в школьной библиотеке надо было организовать доступ к информационным интернет-ресурсам, коллекциям медиаресурсов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5" w:anchor="dfasz720uu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34.3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36" w:anchor="dfasokzkx9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35.3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Оснащение кабинетов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Новые ФГОС ООО устанавливают требования к оснащению кабинетов по отдельным предметным областям. В частности, кабинеты естественно-научного цикла нужно оборудовать комплектами специального лабораторного оборудования (</w:t>
            </w:r>
            <w:hyperlink r:id="rId37" w:anchor="dfasdqez4z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36.3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Обеспечение учебниками и учебными пособиями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в электронной форме (</w:t>
            </w:r>
            <w:hyperlink r:id="rId38" w:anchor="dfas58m0p2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36.1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 ФГОС </w:t>
            </w: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НОО, </w:t>
            </w:r>
            <w:hyperlink r:id="rId39" w:anchor="dfasr7u3v4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37.3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Психолого-педагогические условия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Требований было меньше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 новых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0" w:anchor="dfaseqz7bn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37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41" w:anchor="dfas55s2zb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38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Повышение квалификации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года и обязан систематически повышать квалификацию. Но теперь нет указания, как часто он должен это делать (</w:t>
            </w:r>
            <w:hyperlink r:id="rId42" w:anchor="dfaswo7wy4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38.2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43" w:anchor="dfasvst5i5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39.2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  <w:tr w:rsidR="001E0C82" w:rsidRPr="002277AF" w:rsidTr="00A62648">
        <w:tc>
          <w:tcPr>
            <w:tcW w:w="10773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Частные школы</w:t>
            </w:r>
          </w:p>
        </w:tc>
      </w:tr>
      <w:tr w:rsidR="001E0C82" w:rsidRPr="002277AF" w:rsidTr="00A62648">
        <w:tc>
          <w:tcPr>
            <w:tcW w:w="510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школ. при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E0C82" w:rsidRPr="002277AF" w:rsidRDefault="001E0C82" w:rsidP="00FB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4" w:anchor="dfastmm30u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39.4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НОО, </w:t>
            </w:r>
            <w:hyperlink r:id="rId45" w:anchor="dfas02nf9d" w:tgtFrame="_blank" w:history="1">
              <w:r w:rsidRPr="002277AF">
                <w:rPr>
                  <w:rFonts w:ascii="Times New Roman" w:eastAsia="Times New Roman" w:hAnsi="Times New Roman" w:cs="Times New Roman"/>
                  <w:b/>
                  <w:bCs/>
                  <w:color w:val="329A32"/>
                  <w:sz w:val="23"/>
                  <w:szCs w:val="23"/>
                  <w:u w:val="single"/>
                  <w:lang w:eastAsia="ru-RU"/>
                </w:rPr>
                <w:t>п. 40.5</w:t>
              </w:r>
            </w:hyperlink>
            <w:r w:rsidRPr="002277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ФГОС ООО)</w:t>
            </w:r>
          </w:p>
        </w:tc>
      </w:tr>
    </w:tbl>
    <w:p w:rsidR="00A62648" w:rsidRDefault="00A62648" w:rsidP="00A62648"/>
    <w:p w:rsidR="00A62648" w:rsidRDefault="00A62648" w:rsidP="00A62648"/>
    <w:p w:rsidR="003E202D" w:rsidRPr="00A62648" w:rsidRDefault="00A62648" w:rsidP="00A62648">
      <w:pPr>
        <w:rPr>
          <w:sz w:val="32"/>
          <w:szCs w:val="32"/>
        </w:rPr>
      </w:pPr>
      <w:hyperlink r:id="rId46" w:history="1">
        <w:r w:rsidRPr="00A62648">
          <w:rPr>
            <w:rStyle w:val="a3"/>
            <w:sz w:val="32"/>
            <w:szCs w:val="32"/>
          </w:rPr>
          <w:t>https://edsoo.ru/</w:t>
        </w:r>
      </w:hyperlink>
      <w:r w:rsidRPr="00A62648">
        <w:rPr>
          <w:sz w:val="32"/>
          <w:szCs w:val="32"/>
        </w:rPr>
        <w:t xml:space="preserve"> - Единое содержание образования</w:t>
      </w:r>
    </w:p>
    <w:sectPr w:rsidR="003E202D" w:rsidRPr="00A62648" w:rsidSect="00A62648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7AF"/>
    <w:rsid w:val="001C7884"/>
    <w:rsid w:val="001E0C82"/>
    <w:rsid w:val="00211E29"/>
    <w:rsid w:val="002277AF"/>
    <w:rsid w:val="003E202D"/>
    <w:rsid w:val="00A6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7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7&amp;npid=489547&amp;anchor=dfaszqlvzv" TargetMode="External"/><Relationship Id="rId13" Type="http://schemas.openxmlformats.org/officeDocument/2006/relationships/hyperlink" Target="https://e.rukobr.ru/npd-doc?npmid=97&amp;npid=489548&amp;anchor=dfasdwo0vd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7&amp;anchor=dfas2e0y0m" TargetMode="External"/><Relationship Id="rId39" Type="http://schemas.openxmlformats.org/officeDocument/2006/relationships/hyperlink" Target="https://e.rukobr.ru/npd-doc?npmid=97&amp;npid=489548&amp;anchor=dfasr7u3v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rukobr.ru/npd-doc?npmid=97&amp;npid=489547&amp;anchor=dfasmiplcf" TargetMode="External"/><Relationship Id="rId34" Type="http://schemas.openxmlformats.org/officeDocument/2006/relationships/hyperlink" Target="https://e.rukobr.ru/npd-doc?npmid=97&amp;npid=489548&amp;anchor=dfasmiyh33" TargetMode="External"/><Relationship Id="rId42" Type="http://schemas.openxmlformats.org/officeDocument/2006/relationships/hyperlink" Target="https://e.rukobr.ru/npd-doc?npmid=97&amp;npid=489547&amp;anchor=dfaswo7wy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.rukobr.ru/npd-doc?npmid=97&amp;npid=489548&amp;anchor=dfash5wnfp" TargetMode="External"/><Relationship Id="rId12" Type="http://schemas.openxmlformats.org/officeDocument/2006/relationships/hyperlink" Target="https://e.rukobr.ru/npd-doc?npmid=97&amp;npid=489547&amp;anchor=dfas04naww" TargetMode="External"/><Relationship Id="rId17" Type="http://schemas.openxmlformats.org/officeDocument/2006/relationships/hyperlink" Target="https://e.rukobr.ru/npd-doc?npmid=97&amp;npid=489548&amp;anchor=dfassgyyfm" TargetMode="External"/><Relationship Id="rId25" Type="http://schemas.openxmlformats.org/officeDocument/2006/relationships/hyperlink" Target="https://e.rukobr.ru/npd-doc?npmid=97&amp;npid=489548&amp;anchor=dfassgyyfm" TargetMode="External"/><Relationship Id="rId33" Type="http://schemas.openxmlformats.org/officeDocument/2006/relationships/hyperlink" Target="https://e.rukobr.ru/npd-doc?npmid=97&amp;npid=489547&amp;anchor=dfaskimdls" TargetMode="External"/><Relationship Id="rId38" Type="http://schemas.openxmlformats.org/officeDocument/2006/relationships/hyperlink" Target="https://e.rukobr.ru/npd-doc?npmid=97&amp;npid=489547&amp;anchor=dfas58m0p2" TargetMode="External"/><Relationship Id="rId46" Type="http://schemas.openxmlformats.org/officeDocument/2006/relationships/hyperlink" Target="https://edso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rukobr.ru/npd-doc?npmid=97&amp;npid=489547&amp;anchor=dfasmy3ctz" TargetMode="External"/><Relationship Id="rId20" Type="http://schemas.openxmlformats.org/officeDocument/2006/relationships/hyperlink" Target="https://e.rukobr.ru/npd-doc?npmid=97&amp;npid=489548&amp;anchor=dfassgyyfm" TargetMode="External"/><Relationship Id="rId29" Type="http://schemas.openxmlformats.org/officeDocument/2006/relationships/hyperlink" Target="https://e.rukobr.ru/npd-doc?npmid=97&amp;npid=489548&amp;anchor=dfasqoxtco" TargetMode="External"/><Relationship Id="rId41" Type="http://schemas.openxmlformats.org/officeDocument/2006/relationships/hyperlink" Target="https://e.rukobr.ru/npd-doc?npmid=97&amp;npid=489548&amp;anchor=dfas55s2zb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7&amp;anchor=dfasv1omg6" TargetMode="External"/><Relationship Id="rId11" Type="http://schemas.openxmlformats.org/officeDocument/2006/relationships/hyperlink" Target="https://e.rukobr.ru/npd-doc?npmid=97&amp;npid=489548&amp;anchor=dfassgzqlv" TargetMode="External"/><Relationship Id="rId24" Type="http://schemas.openxmlformats.org/officeDocument/2006/relationships/hyperlink" Target="https://e.rukobr.ru/npd-doc?npmid=97&amp;npid=489548&amp;anchor=dfas0xqf3p" TargetMode="External"/><Relationship Id="rId32" Type="http://schemas.openxmlformats.org/officeDocument/2006/relationships/hyperlink" Target="https://e.rukobr.ru/npd-doc?npmid=97&amp;npid=489548&amp;anchor=dfas95wg7m" TargetMode="External"/><Relationship Id="rId37" Type="http://schemas.openxmlformats.org/officeDocument/2006/relationships/hyperlink" Target="https://e.rukobr.ru/npd-doc?npmid=97&amp;npid=489548&amp;anchor=dfasdqez4z" TargetMode="External"/><Relationship Id="rId40" Type="http://schemas.openxmlformats.org/officeDocument/2006/relationships/hyperlink" Target="https://e.rukobr.ru/npd-doc?npmid=97&amp;npid=489547&amp;anchor=dfaseqz7bn" TargetMode="External"/><Relationship Id="rId45" Type="http://schemas.openxmlformats.org/officeDocument/2006/relationships/hyperlink" Target="https://e.rukobr.ru/npd-doc?npmid=97&amp;npid=489548&amp;anchor=dfas02nf9d" TargetMode="External"/><Relationship Id="rId5" Type="http://schemas.openxmlformats.org/officeDocument/2006/relationships/hyperlink" Target="https://e.rukobr.ru/npd-doc?npmid=97&amp;npid=489548" TargetMode="External"/><Relationship Id="rId15" Type="http://schemas.openxmlformats.org/officeDocument/2006/relationships/hyperlink" Target="https://e.rukobr.ru/npd-doc?npmid=97&amp;npid=489548&amp;anchor=dfas6o7soh" TargetMode="External"/><Relationship Id="rId23" Type="http://schemas.openxmlformats.org/officeDocument/2006/relationships/hyperlink" Target="https://e.rukobr.ru/npd-doc?npmid=97&amp;npid=489548&amp;anchor=dfasncew9b" TargetMode="External"/><Relationship Id="rId28" Type="http://schemas.openxmlformats.org/officeDocument/2006/relationships/hyperlink" Target="https://e.rukobr.ru/npd-doc?npmid=97&amp;npid=489547&amp;anchor=dfasrgeoko" TargetMode="External"/><Relationship Id="rId36" Type="http://schemas.openxmlformats.org/officeDocument/2006/relationships/hyperlink" Target="https://e.rukobr.ru/npd-doc?npmid=97&amp;npid=489548&amp;anchor=dfasokzkx9" TargetMode="External"/><Relationship Id="rId10" Type="http://schemas.openxmlformats.org/officeDocument/2006/relationships/hyperlink" Target="https://e.rukobr.ru/npd-doc?npmid=97&amp;npid=489547&amp;anchor=dfasvexuvl" TargetMode="External"/><Relationship Id="rId19" Type="http://schemas.openxmlformats.org/officeDocument/2006/relationships/hyperlink" Target="https://e.rukobr.ru/npd-doc?npmid=97&amp;npid=489547&amp;anchor=dfasmy3ctz" TargetMode="External"/><Relationship Id="rId31" Type="http://schemas.openxmlformats.org/officeDocument/2006/relationships/hyperlink" Target="https://e.rukobr.ru/npd-doc?npmid=97&amp;npid=489548&amp;anchor=dfasa3swo0" TargetMode="External"/><Relationship Id="rId44" Type="http://schemas.openxmlformats.org/officeDocument/2006/relationships/hyperlink" Target="https://e.rukobr.ru/npd-doc?npmid=97&amp;npid=489547&amp;anchor=dfastmm30u" TargetMode="External"/><Relationship Id="rId4" Type="http://schemas.openxmlformats.org/officeDocument/2006/relationships/hyperlink" Target="https://e.rukobr.ru/npd-doc?npmid=97&amp;npid=489547" TargetMode="External"/><Relationship Id="rId9" Type="http://schemas.openxmlformats.org/officeDocument/2006/relationships/hyperlink" Target="https://e.rukobr.ru/npd-doc?npmid=97&amp;npid=489548&amp;anchor=dfassx13gb" TargetMode="External"/><Relationship Id="rId14" Type="http://schemas.openxmlformats.org/officeDocument/2006/relationships/hyperlink" Target="https://e.rukobr.ru/npd-doc?npmid=97&amp;npid=489547&amp;anchor=dfas0vuvdw" TargetMode="External"/><Relationship Id="rId22" Type="http://schemas.openxmlformats.org/officeDocument/2006/relationships/hyperlink" Target="https://e.rukobr.ru/npd-doc?npmid=97&amp;npid=489547&amp;anchor=dfasn154ml" TargetMode="External"/><Relationship Id="rId27" Type="http://schemas.openxmlformats.org/officeDocument/2006/relationships/hyperlink" Target="https://e.rukobr.ru/npd-doc?npmid=97&amp;npid=489548&amp;anchor=dfasrvkugw" TargetMode="External"/><Relationship Id="rId30" Type="http://schemas.openxmlformats.org/officeDocument/2006/relationships/hyperlink" Target="https://e.rukobr.ru/npd-doc?npmid=97&amp;npid=489547&amp;anchor=dfase0m860" TargetMode="External"/><Relationship Id="rId35" Type="http://schemas.openxmlformats.org/officeDocument/2006/relationships/hyperlink" Target="https://e.rukobr.ru/npd-doc?npmid=97&amp;npid=489547&amp;anchor=dfasz720uu" TargetMode="External"/><Relationship Id="rId43" Type="http://schemas.openxmlformats.org/officeDocument/2006/relationships/hyperlink" Target="https://e.rukobr.ru/npd-doc?npmid=97&amp;npid=489548&amp;anchor=dfasvst5i5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2572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Наталия Вячеславовна</dc:creator>
  <cp:lastModifiedBy>Админ</cp:lastModifiedBy>
  <cp:revision>2</cp:revision>
  <cp:lastPrinted>2022-08-28T15:14:00Z</cp:lastPrinted>
  <dcterms:created xsi:type="dcterms:W3CDTF">2022-08-28T15:15:00Z</dcterms:created>
  <dcterms:modified xsi:type="dcterms:W3CDTF">2022-08-28T15:15:00Z</dcterms:modified>
</cp:coreProperties>
</file>